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Hele utvalget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Innholdsfortegnelse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sdt>
      <w:sdtPr>
        <w:docPartObj>
          <w:docPartGallery w:val="List of Figures"/>
          <w:docPartUnique/>
        </w:docPartObj>
      </w:sdtPr>
      <w:sdtContent>
        <w:p>
          <w:pPr>
            <w:pStyle w:val="TOCHeading"/>
          </w:pPr>
          <w:r>
            <w:t xml:space="preserve">Figurer</w:t>
          </w:r>
        </w:p>
        <w:p>
          <w:r>
            <w:fldChar w:fldCharType="begin" w:dirty="true"/>
            <w:instrText xml:space="preserve">TOC \h \z \t "Image Caption" \c</w:instrText>
            <w:fldChar w:fldCharType="separate"/>
            <w:fldChar w:fldCharType="end"/>
          </w:r>
        </w:p>
      </w:sdtContent>
    </w:sdt>
    <w:sdt>
      <w:sdtPr>
        <w:docPartObj>
          <w:docPartGallery w:val="List of Tables"/>
          <w:docPartUnique/>
        </w:docPartObj>
      </w:sdtPr>
      <w:sdtContent>
        <w:p>
          <w:pPr>
            <w:pStyle w:val="TOCHeading"/>
          </w:pPr>
          <w:r>
            <w:t xml:space="preserve">Tabeller</w:t>
          </w:r>
        </w:p>
        <w:p>
          <w:r>
            <w:fldChar w:fldCharType="begin" w:dirty="true"/>
            <w:instrText xml:space="preserve">TOC \h \z \t "Table Caption" \c</w:instrText>
            <w:fldChar w:fldCharType="separate"/>
            <w:fldChar w:fldCharType="end"/>
          </w:r>
        </w:p>
      </w:sdtContent>
    </w:sdt>
    <w:bookmarkStart w:id="21" w:name="bruksanvisning"/>
    <w:p>
      <w:pPr>
        <w:pStyle w:val="Heading2"/>
      </w:pPr>
      <w:r>
        <w:t xml:space="preserve">Bruksanvisning</w:t>
      </w:r>
    </w:p>
    <w:p>
      <w:pPr>
        <w:pStyle w:val="FirstParagraph"/>
      </w:pPr>
      <w:r>
        <w:t xml:space="preserve">Se</w:t>
      </w:r>
      <w:r>
        <w:t xml:space="preserve"> </w:t>
      </w:r>
      <w:hyperlink r:id="rId20">
        <w:r>
          <w:rPr>
            <w:rStyle w:val="Hyperlink"/>
          </w:rPr>
          <w:t xml:space="preserve">brukerveiledning</w:t>
        </w:r>
      </w:hyperlink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Kun enheter med nok svar (minst 8 svar) er tilgjengelig.</w:t>
      </w:r>
    </w:p>
    <w:p>
      <w:pPr>
        <w:pStyle w:val="Compact"/>
        <w:numPr>
          <w:ilvl w:val="0"/>
          <w:numId w:val="1001"/>
        </w:numPr>
      </w:pPr>
      <w:r>
        <w:t xml:space="preserve">Du finner sider med svar for din enhet, der du kan sammenligne i fanene for alle andre respondenter i undersøkelsen enn de som er ved din enhet.</w:t>
      </w:r>
    </w:p>
    <w:p>
      <w:pPr>
        <w:pStyle w:val="Compact"/>
        <w:numPr>
          <w:ilvl w:val="0"/>
          <w:numId w:val="1001"/>
        </w:numPr>
      </w:pPr>
      <w:r>
        <w:t xml:space="preserve">Du kan lese rapporten interaktivt fordelt på kapitler i menyen på venstre side (mobil: hamburgerikonet). Da får du hyperlenker, figurer med ekstra informasjon og mulighet til å referere til et spesifikt avsnitt som en URL.</w:t>
      </w:r>
    </w:p>
    <w:p>
      <w:pPr>
        <w:pStyle w:val="Compact"/>
        <w:numPr>
          <w:ilvl w:val="0"/>
          <w:numId w:val="1001"/>
        </w:numPr>
      </w:pPr>
      <w:r>
        <w:t xml:space="preserve">Til høyre under innholdslisten finner du statiske DOCX til nedlasting.</w:t>
      </w:r>
    </w:p>
    <w:p>
      <w:pPr>
        <w:pStyle w:val="Compact"/>
        <w:numPr>
          <w:ilvl w:val="0"/>
          <w:numId w:val="1001"/>
        </w:numPr>
      </w:pPr>
      <w:r>
        <w:t xml:space="preserve">Brukernavn og passord er sendt til enhetens kontaktperson (skoleleder eller skoleeier). Kontakt disse dersom du har behov for tilgang til din enhet.</w:t>
      </w:r>
    </w:p>
    <w:bookmarkEnd w:id="2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b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saros.nifu.no/Artikler/Brukerveiledning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saros.nifu.no/Artikler/Brukerveiledning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 utvalget</dc:title>
  <dc:creator/>
  <dc:language>nb</dc:language>
  <cp:keywords/>
  <dcterms:created xsi:type="dcterms:W3CDTF">2025-09-19T21:40:03Z</dcterms:created>
  <dcterms:modified xsi:type="dcterms:W3CDTF">2025-09-19T21:40:03Z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endex-cite-as">
    <vt:lpwstr>False</vt:lpwstr>
  </property>
  <property fmtid="{D5CDD505-2E9C-101B-9397-08002B2CF9AE}" pid="3" name="biblio-config">
    <vt:lpwstr>True</vt:lpwstr>
  </property>
  <property fmtid="{D5CDD505-2E9C-101B-9397-08002B2CF9AE}" pid="4" name="cache.comments">
    <vt:lpwstr>False</vt:lpwstr>
  </property>
  <property fmtid="{D5CDD505-2E9C-101B-9397-08002B2CF9AE}" pid="5" name="citation-location">
    <vt:lpwstr>margin</vt:lpwstr>
  </property>
  <property fmtid="{D5CDD505-2E9C-101B-9397-08002B2CF9AE}" pid="6" name="crossref">
    <vt:lpwstr/>
  </property>
  <property fmtid="{D5CDD505-2E9C-101B-9397-08002B2CF9AE}" pid="7" name="csl">
    <vt:lpwstr>../../config/style.csl</vt:lpwstr>
  </property>
  <property fmtid="{D5CDD505-2E9C-101B-9397-08002B2CF9AE}" pid="8" name="draft-mode">
    <vt:lpwstr>gone</vt:lpwstr>
  </property>
  <property fmtid="{D5CDD505-2E9C-101B-9397-08002B2CF9AE}" pid="9" name="fig-cap-location">
    <vt:lpwstr>bottom</vt:lpwstr>
  </property>
  <property fmtid="{D5CDD505-2E9C-101B-9397-08002B2CF9AE}" pid="10" name="google-scholar">
    <vt:lpwstr>True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issn">
    <vt:lpwstr>1894-8200 (online)</vt:lpwstr>
  </property>
  <property fmtid="{D5CDD505-2E9C-101B-9397-08002B2CF9AE}" pid="15" name="labels">
    <vt:lpwstr/>
  </property>
  <property fmtid="{D5CDD505-2E9C-101B-9397-08002B2CF9AE}" pid="16" name="license">
    <vt:lpwstr/>
  </property>
  <property fmtid="{D5CDD505-2E9C-101B-9397-08002B2CF9AE}" pid="17" name="lof">
    <vt:lpwstr>True</vt:lpwstr>
  </property>
  <property fmtid="{D5CDD505-2E9C-101B-9397-08002B2CF9AE}" pid="18" name="lot">
    <vt:lpwstr>True</vt:lpwstr>
  </property>
  <property fmtid="{D5CDD505-2E9C-101B-9397-08002B2CF9AE}" pid="19" name="number-depth">
    <vt:lpwstr>3</vt:lpwstr>
  </property>
  <property fmtid="{D5CDD505-2E9C-101B-9397-08002B2CF9AE}" pid="20" name="order">
    <vt:lpwstr>0</vt:lpwstr>
  </property>
  <property fmtid="{D5CDD505-2E9C-101B-9397-08002B2CF9AE}" pid="21" name="quarto-required">
    <vt:lpwstr>= 1.5</vt:lpwstr>
  </property>
  <property fmtid="{D5CDD505-2E9C-101B-9397-08002B2CF9AE}" pid="22" name="tbl-cap-location">
    <vt:lpwstr>top</vt:lpwstr>
  </property>
  <property fmtid="{D5CDD505-2E9C-101B-9397-08002B2CF9AE}" pid="23" name="toc-title">
    <vt:lpwstr>Innholdsfortegnelse</vt:lpwstr>
  </property>
</Properties>
</file>